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88" w:rsidRDefault="00404E88" w:rsidP="00ED1EAA">
      <w:pPr>
        <w:ind w:left="708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404E88" w:rsidRDefault="00404E88" w:rsidP="004A236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Чернігівської районної ради</w:t>
      </w:r>
    </w:p>
    <w:p w:rsidR="00ED1EAA" w:rsidRDefault="00ED1EAA" w:rsidP="00ED1EAA">
      <w:pPr>
        <w:ind w:left="3540" w:firstLine="708"/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29 січня </w:t>
      </w:r>
      <w:r w:rsidR="00404E88">
        <w:rPr>
          <w:sz w:val="28"/>
          <w:lang w:val="uk-UA"/>
        </w:rPr>
        <w:t>201</w:t>
      </w:r>
      <w:r w:rsidR="003C21BB">
        <w:rPr>
          <w:sz w:val="28"/>
          <w:lang w:val="uk-UA"/>
        </w:rPr>
        <w:t>6</w:t>
      </w:r>
      <w:r w:rsidR="00847FFE">
        <w:rPr>
          <w:sz w:val="28"/>
          <w:lang w:val="uk-UA"/>
        </w:rPr>
        <w:t xml:space="preserve"> </w:t>
      </w:r>
      <w:r w:rsidR="00404E88">
        <w:rPr>
          <w:sz w:val="28"/>
          <w:lang w:val="uk-UA"/>
        </w:rPr>
        <w:t xml:space="preserve">року </w:t>
      </w:r>
      <w:r w:rsidR="00404E88">
        <w:rPr>
          <w:sz w:val="28"/>
          <w:szCs w:val="28"/>
          <w:lang w:val="uk-UA"/>
        </w:rPr>
        <w:t xml:space="preserve"> «Про </w:t>
      </w:r>
      <w:r w:rsidR="003C21BB">
        <w:rPr>
          <w:sz w:val="28"/>
          <w:szCs w:val="28"/>
          <w:lang w:val="uk-UA"/>
        </w:rPr>
        <w:t xml:space="preserve"> </w:t>
      </w:r>
      <w:r w:rsidR="00847FFE">
        <w:rPr>
          <w:sz w:val="28"/>
          <w:szCs w:val="28"/>
          <w:lang w:val="uk-UA"/>
        </w:rPr>
        <w:t xml:space="preserve">виконання </w:t>
      </w:r>
    </w:p>
    <w:p w:rsidR="00ED1EAA" w:rsidRDefault="00ED1EAA" w:rsidP="00ED1EAA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47FFE">
        <w:rPr>
          <w:sz w:val="28"/>
          <w:szCs w:val="28"/>
          <w:lang w:val="uk-UA"/>
        </w:rPr>
        <w:t xml:space="preserve">районної цільової </w:t>
      </w:r>
      <w:r w:rsidR="008F074C">
        <w:rPr>
          <w:sz w:val="28"/>
          <w:szCs w:val="28"/>
          <w:lang w:val="uk-UA"/>
        </w:rPr>
        <w:t xml:space="preserve">соціальної </w:t>
      </w:r>
      <w:r w:rsidR="00847FFE">
        <w:rPr>
          <w:sz w:val="28"/>
          <w:szCs w:val="28"/>
          <w:lang w:val="uk-UA"/>
        </w:rPr>
        <w:t xml:space="preserve">Програми </w:t>
      </w:r>
    </w:p>
    <w:p w:rsidR="00ED1EAA" w:rsidRDefault="00ED1EAA" w:rsidP="00ED1EAA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47FFE">
        <w:rPr>
          <w:sz w:val="28"/>
          <w:szCs w:val="28"/>
          <w:lang w:val="uk-UA"/>
        </w:rPr>
        <w:t xml:space="preserve">розвитку </w:t>
      </w:r>
      <w:r w:rsidR="00847FFE" w:rsidRPr="006314C0">
        <w:rPr>
          <w:sz w:val="28"/>
          <w:szCs w:val="28"/>
          <w:lang w:val="uk-UA"/>
        </w:rPr>
        <w:t xml:space="preserve">позашкільної освіти </w:t>
      </w:r>
      <w:r w:rsidR="00847FFE">
        <w:rPr>
          <w:sz w:val="28"/>
          <w:szCs w:val="28"/>
          <w:lang w:val="uk-UA"/>
        </w:rPr>
        <w:t xml:space="preserve">та </w:t>
      </w:r>
    </w:p>
    <w:p w:rsidR="00ED1EAA" w:rsidRDefault="00ED1EAA" w:rsidP="00ED1EAA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47FFE">
        <w:rPr>
          <w:sz w:val="28"/>
          <w:szCs w:val="28"/>
          <w:lang w:val="uk-UA"/>
        </w:rPr>
        <w:t xml:space="preserve">підтримки обдарованої молоді на період </w:t>
      </w:r>
    </w:p>
    <w:p w:rsidR="00404E88" w:rsidRDefault="00ED1EAA" w:rsidP="00ED1EAA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47FFE">
        <w:rPr>
          <w:sz w:val="28"/>
          <w:szCs w:val="28"/>
          <w:lang w:val="uk-UA"/>
        </w:rPr>
        <w:t>до 2015 року»</w:t>
      </w:r>
    </w:p>
    <w:p w:rsidR="00404E88" w:rsidRDefault="00404E88" w:rsidP="004A2366">
      <w:pPr>
        <w:jc w:val="right"/>
        <w:rPr>
          <w:sz w:val="28"/>
          <w:szCs w:val="28"/>
          <w:lang w:val="uk-UA"/>
        </w:rPr>
      </w:pPr>
    </w:p>
    <w:p w:rsidR="00256967" w:rsidRDefault="00256967" w:rsidP="00847FFE">
      <w:pPr>
        <w:jc w:val="center"/>
        <w:rPr>
          <w:b/>
          <w:sz w:val="28"/>
          <w:szCs w:val="28"/>
          <w:lang w:val="uk-UA"/>
        </w:rPr>
      </w:pPr>
    </w:p>
    <w:p w:rsidR="00256967" w:rsidRDefault="00256967" w:rsidP="00847F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847FFE" w:rsidRDefault="00256967" w:rsidP="00847F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3C21BB">
        <w:rPr>
          <w:b/>
          <w:sz w:val="28"/>
          <w:szCs w:val="28"/>
          <w:lang w:val="uk-UA"/>
        </w:rPr>
        <w:t>ро</w:t>
      </w:r>
      <w:r w:rsidR="00847FFE" w:rsidRPr="00847FFE">
        <w:rPr>
          <w:b/>
          <w:sz w:val="28"/>
          <w:szCs w:val="28"/>
          <w:lang w:val="uk-UA"/>
        </w:rPr>
        <w:t xml:space="preserve"> виконання районної</w:t>
      </w:r>
      <w:r w:rsidR="00847FFE">
        <w:rPr>
          <w:b/>
          <w:sz w:val="28"/>
          <w:szCs w:val="28"/>
          <w:lang w:val="uk-UA"/>
        </w:rPr>
        <w:t xml:space="preserve"> </w:t>
      </w:r>
      <w:r w:rsidR="00847FFE" w:rsidRPr="00847FFE">
        <w:rPr>
          <w:b/>
          <w:sz w:val="28"/>
          <w:szCs w:val="28"/>
          <w:lang w:val="uk-UA"/>
        </w:rPr>
        <w:t xml:space="preserve">цільової </w:t>
      </w:r>
      <w:r w:rsidR="008F074C">
        <w:rPr>
          <w:b/>
          <w:sz w:val="28"/>
          <w:szCs w:val="28"/>
          <w:lang w:val="uk-UA"/>
        </w:rPr>
        <w:t>соціальної</w:t>
      </w:r>
    </w:p>
    <w:p w:rsidR="00847FFE" w:rsidRDefault="00847FFE" w:rsidP="00847FFE">
      <w:pPr>
        <w:jc w:val="center"/>
        <w:rPr>
          <w:b/>
          <w:sz w:val="28"/>
          <w:szCs w:val="28"/>
          <w:lang w:val="uk-UA"/>
        </w:rPr>
      </w:pPr>
      <w:r w:rsidRPr="00847FFE">
        <w:rPr>
          <w:b/>
          <w:sz w:val="28"/>
          <w:szCs w:val="28"/>
          <w:lang w:val="uk-UA"/>
        </w:rPr>
        <w:t>Програми розвитку позашкільної</w:t>
      </w:r>
      <w:r>
        <w:rPr>
          <w:b/>
          <w:sz w:val="28"/>
          <w:szCs w:val="28"/>
          <w:lang w:val="uk-UA"/>
        </w:rPr>
        <w:t xml:space="preserve"> </w:t>
      </w:r>
      <w:r w:rsidRPr="00847FFE">
        <w:rPr>
          <w:b/>
          <w:sz w:val="28"/>
          <w:szCs w:val="28"/>
          <w:lang w:val="uk-UA"/>
        </w:rPr>
        <w:t xml:space="preserve">освіти </w:t>
      </w:r>
    </w:p>
    <w:p w:rsidR="00847FFE" w:rsidRPr="00847FFE" w:rsidRDefault="00847FFE" w:rsidP="00847FFE">
      <w:pPr>
        <w:jc w:val="center"/>
        <w:rPr>
          <w:b/>
          <w:sz w:val="28"/>
          <w:szCs w:val="28"/>
          <w:lang w:val="uk-UA"/>
        </w:rPr>
      </w:pPr>
      <w:r w:rsidRPr="00847FFE">
        <w:rPr>
          <w:b/>
          <w:sz w:val="28"/>
          <w:szCs w:val="28"/>
          <w:lang w:val="uk-UA"/>
        </w:rPr>
        <w:t>та підтримки обдарованої молоді</w:t>
      </w:r>
      <w:r>
        <w:rPr>
          <w:b/>
          <w:sz w:val="28"/>
          <w:szCs w:val="28"/>
          <w:lang w:val="uk-UA"/>
        </w:rPr>
        <w:t xml:space="preserve"> </w:t>
      </w:r>
      <w:r w:rsidRPr="00847FFE">
        <w:rPr>
          <w:b/>
          <w:sz w:val="28"/>
          <w:szCs w:val="28"/>
          <w:lang w:val="uk-UA"/>
        </w:rPr>
        <w:t>на період до 2015 року</w:t>
      </w:r>
      <w:r w:rsidR="00256967">
        <w:rPr>
          <w:b/>
          <w:sz w:val="28"/>
          <w:szCs w:val="28"/>
          <w:lang w:val="uk-UA"/>
        </w:rPr>
        <w:t xml:space="preserve"> </w:t>
      </w:r>
    </w:p>
    <w:p w:rsidR="00404E88" w:rsidRDefault="00404E88" w:rsidP="006456FF">
      <w:pPr>
        <w:jc w:val="right"/>
        <w:rPr>
          <w:sz w:val="28"/>
          <w:lang w:val="uk-UA"/>
        </w:rPr>
      </w:pPr>
    </w:p>
    <w:p w:rsidR="00847FFE" w:rsidRPr="00521286" w:rsidRDefault="00847FFE" w:rsidP="00847FFE">
      <w:pPr>
        <w:ind w:firstLine="708"/>
        <w:jc w:val="both"/>
        <w:rPr>
          <w:sz w:val="29"/>
          <w:szCs w:val="29"/>
          <w:lang w:val="uk-UA"/>
        </w:rPr>
      </w:pPr>
      <w:r w:rsidRPr="00521286">
        <w:rPr>
          <w:sz w:val="29"/>
          <w:szCs w:val="29"/>
          <w:lang w:val="uk-UA"/>
        </w:rPr>
        <w:t>На виконання</w:t>
      </w:r>
      <w:r w:rsidR="008F074C">
        <w:rPr>
          <w:sz w:val="29"/>
          <w:szCs w:val="29"/>
          <w:lang w:val="uk-UA"/>
        </w:rPr>
        <w:t xml:space="preserve">  районної цільової соціальної П</w:t>
      </w:r>
      <w:r w:rsidRPr="00521286">
        <w:rPr>
          <w:sz w:val="29"/>
          <w:szCs w:val="29"/>
          <w:lang w:val="uk-UA"/>
        </w:rPr>
        <w:t>рограми розвитку позашкільної освіти та підтримки обдарованої молоді  на період до 2015 року, затвердженої сесією районної ради від 25 травня 2011 року</w:t>
      </w:r>
      <w:r w:rsidR="0068698D">
        <w:rPr>
          <w:sz w:val="29"/>
          <w:szCs w:val="29"/>
          <w:lang w:val="uk-UA"/>
        </w:rPr>
        <w:t>,</w:t>
      </w:r>
      <w:r w:rsidRPr="00521286">
        <w:rPr>
          <w:sz w:val="29"/>
          <w:szCs w:val="29"/>
          <w:lang w:val="uk-UA"/>
        </w:rPr>
        <w:t xml:space="preserve"> позашкільні навчальні  заклади забезпечують дітям можливість у вільний час розвивати та поглиблювати свої здібності, цілеспрямовано та повноцінно організувати свій вільний час.</w:t>
      </w:r>
    </w:p>
    <w:p w:rsidR="00847FFE" w:rsidRPr="00521286" w:rsidRDefault="00847FFE" w:rsidP="00847FFE">
      <w:pPr>
        <w:widowControl w:val="0"/>
        <w:ind w:firstLine="540"/>
        <w:jc w:val="both"/>
        <w:rPr>
          <w:sz w:val="29"/>
          <w:szCs w:val="29"/>
          <w:lang w:val="uk-UA"/>
        </w:rPr>
      </w:pPr>
      <w:r w:rsidRPr="00521286">
        <w:rPr>
          <w:sz w:val="29"/>
          <w:szCs w:val="29"/>
          <w:lang w:val="uk-UA"/>
        </w:rPr>
        <w:t xml:space="preserve">Впровадження Програми </w:t>
      </w:r>
      <w:r w:rsidR="0068698D">
        <w:rPr>
          <w:sz w:val="29"/>
          <w:szCs w:val="29"/>
          <w:lang w:val="uk-UA"/>
        </w:rPr>
        <w:t>забезпечило</w:t>
      </w:r>
      <w:r w:rsidRPr="00521286">
        <w:rPr>
          <w:sz w:val="29"/>
          <w:szCs w:val="29"/>
          <w:lang w:val="uk-UA"/>
        </w:rPr>
        <w:t xml:space="preserve"> рівн</w:t>
      </w:r>
      <w:r w:rsidR="0068698D">
        <w:rPr>
          <w:sz w:val="29"/>
          <w:szCs w:val="29"/>
          <w:lang w:val="uk-UA"/>
        </w:rPr>
        <w:t>ий</w:t>
      </w:r>
      <w:r w:rsidR="00DA0D0D">
        <w:rPr>
          <w:sz w:val="29"/>
          <w:szCs w:val="29"/>
          <w:lang w:val="uk-UA"/>
        </w:rPr>
        <w:t xml:space="preserve"> доступ</w:t>
      </w:r>
      <w:r w:rsidRPr="00521286">
        <w:rPr>
          <w:sz w:val="29"/>
          <w:szCs w:val="29"/>
          <w:lang w:val="uk-UA"/>
        </w:rPr>
        <w:t xml:space="preserve"> до отримання дітьми району якісної позашкільної освіти, поліпшення матеріально-технічної та навчальної бази позашкільних навчальних закладів, формування інтелектуального потенціалу району шляхом створення оптимальних умов для виявлення обдарованої молоді і надання їй підтримки у розвитку творчого потенціалу</w:t>
      </w:r>
      <w:r w:rsidR="00A24B5C">
        <w:rPr>
          <w:sz w:val="29"/>
          <w:szCs w:val="29"/>
          <w:lang w:val="uk-UA"/>
        </w:rPr>
        <w:t xml:space="preserve">.  </w:t>
      </w:r>
      <w:r w:rsidRPr="00521286">
        <w:rPr>
          <w:sz w:val="29"/>
          <w:szCs w:val="29"/>
          <w:lang w:val="uk-UA"/>
        </w:rPr>
        <w:t xml:space="preserve"> </w:t>
      </w:r>
    </w:p>
    <w:p w:rsidR="00847FFE" w:rsidRPr="00521286" w:rsidRDefault="00847FFE" w:rsidP="00847FFE">
      <w:pPr>
        <w:widowControl w:val="0"/>
        <w:ind w:firstLine="540"/>
        <w:jc w:val="both"/>
        <w:rPr>
          <w:sz w:val="29"/>
          <w:szCs w:val="29"/>
          <w:lang w:val="uk-UA"/>
        </w:rPr>
      </w:pPr>
      <w:r w:rsidRPr="00521286">
        <w:rPr>
          <w:sz w:val="29"/>
          <w:szCs w:val="29"/>
        </w:rPr>
        <w:t xml:space="preserve">У </w:t>
      </w:r>
      <w:r w:rsidRPr="00521286">
        <w:rPr>
          <w:sz w:val="29"/>
          <w:szCs w:val="29"/>
          <w:lang w:val="uk-UA"/>
        </w:rPr>
        <w:t>позашкільних навчальних закладах постійно ведеться</w:t>
      </w:r>
      <w:r w:rsidRPr="00521286">
        <w:rPr>
          <w:sz w:val="29"/>
          <w:szCs w:val="29"/>
        </w:rPr>
        <w:t xml:space="preserve"> робота </w:t>
      </w:r>
      <w:proofErr w:type="spellStart"/>
      <w:r w:rsidRPr="00521286">
        <w:rPr>
          <w:sz w:val="29"/>
          <w:szCs w:val="29"/>
        </w:rPr>
        <w:t>з</w:t>
      </w:r>
      <w:proofErr w:type="spellEnd"/>
      <w:r w:rsidRPr="00521286">
        <w:rPr>
          <w:sz w:val="29"/>
          <w:szCs w:val="29"/>
        </w:rPr>
        <w:t xml:space="preserve"> </w:t>
      </w:r>
      <w:proofErr w:type="spellStart"/>
      <w:r w:rsidRPr="00521286">
        <w:rPr>
          <w:sz w:val="29"/>
          <w:szCs w:val="29"/>
        </w:rPr>
        <w:t>модернізації</w:t>
      </w:r>
      <w:proofErr w:type="spellEnd"/>
      <w:r w:rsidRPr="00521286">
        <w:rPr>
          <w:sz w:val="29"/>
          <w:szCs w:val="29"/>
        </w:rPr>
        <w:t xml:space="preserve"> </w:t>
      </w:r>
      <w:proofErr w:type="spellStart"/>
      <w:r w:rsidRPr="00521286">
        <w:rPr>
          <w:sz w:val="29"/>
          <w:szCs w:val="29"/>
        </w:rPr>
        <w:t>змісту</w:t>
      </w:r>
      <w:proofErr w:type="spellEnd"/>
      <w:r w:rsidRPr="00521286">
        <w:rPr>
          <w:sz w:val="29"/>
          <w:szCs w:val="29"/>
        </w:rPr>
        <w:t xml:space="preserve"> та форм </w:t>
      </w:r>
      <w:proofErr w:type="spellStart"/>
      <w:r w:rsidRPr="00521286">
        <w:rPr>
          <w:sz w:val="29"/>
          <w:szCs w:val="29"/>
        </w:rPr>
        <w:t>навчально-виховної</w:t>
      </w:r>
      <w:proofErr w:type="spellEnd"/>
      <w:r w:rsidRPr="00521286">
        <w:rPr>
          <w:sz w:val="29"/>
          <w:szCs w:val="29"/>
        </w:rPr>
        <w:t xml:space="preserve"> </w:t>
      </w:r>
      <w:proofErr w:type="spellStart"/>
      <w:r w:rsidRPr="00521286">
        <w:rPr>
          <w:sz w:val="29"/>
          <w:szCs w:val="29"/>
        </w:rPr>
        <w:t>роботи</w:t>
      </w:r>
      <w:proofErr w:type="spellEnd"/>
      <w:r w:rsidRPr="00521286">
        <w:rPr>
          <w:sz w:val="29"/>
          <w:szCs w:val="29"/>
          <w:lang w:val="uk-UA"/>
        </w:rPr>
        <w:t>.</w:t>
      </w:r>
      <w:r w:rsidRPr="00521286">
        <w:rPr>
          <w:sz w:val="29"/>
          <w:szCs w:val="29"/>
        </w:rPr>
        <w:t xml:space="preserve"> </w:t>
      </w:r>
    </w:p>
    <w:p w:rsidR="00847FFE" w:rsidRPr="000B1EE7" w:rsidRDefault="00847FFE" w:rsidP="00711EE7">
      <w:pPr>
        <w:pStyle w:val="a8"/>
        <w:ind w:firstLine="540"/>
        <w:jc w:val="both"/>
        <w:rPr>
          <w:rFonts w:ascii="Times New Roman" w:hAnsi="Times New Roman"/>
          <w:sz w:val="29"/>
          <w:szCs w:val="29"/>
          <w:lang w:val="uk-UA"/>
        </w:rPr>
      </w:pPr>
      <w:r w:rsidRPr="003C21BB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3C21BB" w:rsidRPr="003C21BB">
        <w:rPr>
          <w:rFonts w:ascii="Times New Roman" w:hAnsi="Times New Roman"/>
          <w:sz w:val="28"/>
          <w:szCs w:val="28"/>
          <w:lang w:val="uk-UA"/>
        </w:rPr>
        <w:t>період функціонування Програми</w:t>
      </w:r>
      <w:r w:rsidRPr="003C21BB">
        <w:rPr>
          <w:rFonts w:ascii="Times New Roman" w:hAnsi="Times New Roman"/>
          <w:sz w:val="28"/>
          <w:szCs w:val="28"/>
          <w:lang w:val="uk-UA"/>
        </w:rPr>
        <w:t xml:space="preserve"> охоплення позашкільною освітою дітей відповідного віку зросло 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A75627" w:rsidRPr="000B1EE7">
        <w:rPr>
          <w:rFonts w:ascii="Times New Roman" w:hAnsi="Times New Roman"/>
          <w:sz w:val="28"/>
          <w:szCs w:val="28"/>
          <w:lang w:val="uk-UA"/>
        </w:rPr>
        <w:t>21</w:t>
      </w:r>
      <w:r w:rsidRPr="000B1EE7">
        <w:rPr>
          <w:rFonts w:ascii="Times New Roman" w:hAnsi="Times New Roman"/>
          <w:sz w:val="28"/>
          <w:szCs w:val="28"/>
          <w:lang w:val="uk-UA"/>
        </w:rPr>
        <w:t>,</w:t>
      </w:r>
      <w:r w:rsidR="00A75627" w:rsidRPr="000B1EE7">
        <w:rPr>
          <w:rFonts w:ascii="Times New Roman" w:hAnsi="Times New Roman"/>
          <w:sz w:val="28"/>
          <w:szCs w:val="28"/>
          <w:lang w:val="uk-UA"/>
        </w:rPr>
        <w:t>2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%, мережа гуртків збільшилася на </w:t>
      </w:r>
      <w:r w:rsidR="00A75627" w:rsidRPr="000B1EE7">
        <w:rPr>
          <w:rFonts w:ascii="Times New Roman" w:hAnsi="Times New Roman"/>
          <w:sz w:val="28"/>
          <w:szCs w:val="28"/>
          <w:lang w:val="uk-UA"/>
        </w:rPr>
        <w:t>33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11EE7" w:rsidRPr="000B1EE7">
        <w:rPr>
          <w:rFonts w:ascii="Times New Roman" w:hAnsi="Times New Roman"/>
          <w:sz w:val="29"/>
          <w:szCs w:val="29"/>
          <w:lang w:val="uk-UA"/>
        </w:rPr>
        <w:t>У 201</w:t>
      </w:r>
      <w:r w:rsidR="003C21BB" w:rsidRPr="000B1EE7">
        <w:rPr>
          <w:rFonts w:ascii="Times New Roman" w:hAnsi="Times New Roman"/>
          <w:sz w:val="29"/>
          <w:szCs w:val="29"/>
          <w:lang w:val="uk-UA"/>
        </w:rPr>
        <w:t>5</w:t>
      </w:r>
      <w:r w:rsidR="00711EE7" w:rsidRPr="000B1EE7">
        <w:rPr>
          <w:rFonts w:ascii="Times New Roman" w:hAnsi="Times New Roman"/>
          <w:sz w:val="29"/>
          <w:szCs w:val="29"/>
          <w:lang w:val="uk-UA"/>
        </w:rPr>
        <w:t xml:space="preserve"> році </w:t>
      </w:r>
      <w:r w:rsidR="00711EE7" w:rsidRPr="000B1EE7">
        <w:rPr>
          <w:rFonts w:ascii="Times New Roman" w:hAnsi="Times New Roman"/>
          <w:sz w:val="28"/>
          <w:szCs w:val="28"/>
          <w:lang w:val="uk-UA"/>
        </w:rPr>
        <w:t>н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авчанням та вихованням охоплено </w:t>
      </w:r>
      <w:r w:rsidR="00A75627" w:rsidRPr="000B1EE7">
        <w:rPr>
          <w:rFonts w:ascii="Times New Roman" w:hAnsi="Times New Roman"/>
          <w:sz w:val="28"/>
          <w:szCs w:val="28"/>
          <w:lang w:val="uk-UA"/>
        </w:rPr>
        <w:t>671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 уч</w:t>
      </w:r>
      <w:r w:rsidR="00F901E9">
        <w:rPr>
          <w:rFonts w:ascii="Times New Roman" w:hAnsi="Times New Roman"/>
          <w:sz w:val="28"/>
          <w:szCs w:val="28"/>
          <w:lang w:val="uk-UA"/>
        </w:rPr>
        <w:t>е</w:t>
      </w:r>
      <w:r w:rsidRPr="000B1EE7">
        <w:rPr>
          <w:rFonts w:ascii="Times New Roman" w:hAnsi="Times New Roman"/>
          <w:sz w:val="28"/>
          <w:szCs w:val="28"/>
          <w:lang w:val="uk-UA"/>
        </w:rPr>
        <w:t>н</w:t>
      </w:r>
      <w:r w:rsidR="00F901E9">
        <w:rPr>
          <w:rFonts w:ascii="Times New Roman" w:hAnsi="Times New Roman"/>
          <w:sz w:val="28"/>
          <w:szCs w:val="28"/>
          <w:lang w:val="uk-UA"/>
        </w:rPr>
        <w:t>ь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A75627" w:rsidRPr="000B1EE7">
        <w:rPr>
          <w:rFonts w:ascii="Times New Roman" w:hAnsi="Times New Roman"/>
          <w:sz w:val="28"/>
          <w:szCs w:val="28"/>
          <w:lang w:val="uk-UA"/>
        </w:rPr>
        <w:t>32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 гуртках Центру туристично-краєзнавчої творчості та </w:t>
      </w:r>
      <w:r w:rsidR="00A75627" w:rsidRPr="000B1EE7">
        <w:rPr>
          <w:rFonts w:ascii="Times New Roman" w:hAnsi="Times New Roman"/>
          <w:sz w:val="28"/>
          <w:szCs w:val="28"/>
          <w:lang w:val="uk-UA"/>
        </w:rPr>
        <w:t>709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 учнів у 3</w:t>
      </w:r>
      <w:r w:rsidR="00A75627" w:rsidRPr="000B1EE7">
        <w:rPr>
          <w:rFonts w:ascii="Times New Roman" w:hAnsi="Times New Roman"/>
          <w:sz w:val="28"/>
          <w:szCs w:val="28"/>
          <w:lang w:val="uk-UA"/>
        </w:rPr>
        <w:t>5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 гуртках Будинку школяра. Це </w:t>
      </w:r>
      <w:r w:rsidRPr="000B1EE7">
        <w:rPr>
          <w:rFonts w:ascii="Times New Roman" w:hAnsi="Times New Roman"/>
          <w:kern w:val="28"/>
          <w:sz w:val="28"/>
          <w:szCs w:val="28"/>
          <w:lang w:val="uk-UA"/>
        </w:rPr>
        <w:t>становить 3</w:t>
      </w:r>
      <w:r w:rsidR="00A75627" w:rsidRPr="000B1EE7">
        <w:rPr>
          <w:rFonts w:ascii="Times New Roman" w:hAnsi="Times New Roman"/>
          <w:kern w:val="28"/>
          <w:sz w:val="28"/>
          <w:szCs w:val="28"/>
          <w:lang w:val="uk-UA"/>
        </w:rPr>
        <w:t>4</w:t>
      </w:r>
      <w:r w:rsidRPr="000B1EE7">
        <w:rPr>
          <w:rFonts w:ascii="Times New Roman" w:hAnsi="Times New Roman"/>
          <w:kern w:val="28"/>
          <w:sz w:val="28"/>
          <w:szCs w:val="28"/>
          <w:lang w:val="uk-UA"/>
        </w:rPr>
        <w:t>,</w:t>
      </w:r>
      <w:r w:rsidR="00A75627" w:rsidRPr="000B1EE7">
        <w:rPr>
          <w:rFonts w:ascii="Times New Roman" w:hAnsi="Times New Roman"/>
          <w:kern w:val="28"/>
          <w:sz w:val="28"/>
          <w:szCs w:val="28"/>
          <w:lang w:val="uk-UA"/>
        </w:rPr>
        <w:t>9</w:t>
      </w:r>
      <w:r w:rsidRPr="000B1EE7">
        <w:rPr>
          <w:rFonts w:ascii="Times New Roman" w:hAnsi="Times New Roman"/>
          <w:kern w:val="28"/>
          <w:sz w:val="28"/>
          <w:szCs w:val="28"/>
          <w:lang w:val="uk-UA"/>
        </w:rPr>
        <w:t>% від загальної кількості дітей шкільного віку</w:t>
      </w:r>
      <w:r w:rsidR="00A75627" w:rsidRPr="000B1EE7">
        <w:rPr>
          <w:rFonts w:ascii="Times New Roman" w:hAnsi="Times New Roman"/>
          <w:kern w:val="28"/>
          <w:sz w:val="28"/>
          <w:szCs w:val="28"/>
          <w:lang w:val="uk-UA"/>
        </w:rPr>
        <w:t>.</w:t>
      </w:r>
      <w:r w:rsidRPr="000B1EE7">
        <w:rPr>
          <w:rFonts w:ascii="Times New Roman" w:hAnsi="Times New Roman"/>
          <w:kern w:val="28"/>
          <w:sz w:val="28"/>
          <w:szCs w:val="28"/>
          <w:lang w:val="uk-UA"/>
        </w:rPr>
        <w:t xml:space="preserve"> Гуртки позашкільних навчальних закладів функціонують  у 24 навчальних закладах району: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  від Будинку школяра у 1</w:t>
      </w:r>
      <w:r w:rsidR="000B1EE7">
        <w:rPr>
          <w:rFonts w:ascii="Times New Roman" w:hAnsi="Times New Roman"/>
          <w:sz w:val="28"/>
          <w:szCs w:val="28"/>
          <w:lang w:val="uk-UA"/>
        </w:rPr>
        <w:t>8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, від Центру туристично-краєзнавчої творчості – у </w:t>
      </w:r>
      <w:r w:rsidR="000B1EE7">
        <w:rPr>
          <w:rFonts w:ascii="Times New Roman" w:hAnsi="Times New Roman"/>
          <w:sz w:val="28"/>
          <w:szCs w:val="28"/>
          <w:lang w:val="uk-UA"/>
        </w:rPr>
        <w:t>17 навчальних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0B1EE7">
        <w:rPr>
          <w:rFonts w:ascii="Times New Roman" w:hAnsi="Times New Roman"/>
          <w:sz w:val="28"/>
          <w:szCs w:val="28"/>
          <w:lang w:val="uk-UA"/>
        </w:rPr>
        <w:t>ах</w:t>
      </w:r>
      <w:r w:rsidRPr="000B1EE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47FFE" w:rsidRPr="00925446" w:rsidRDefault="00847FFE" w:rsidP="00847FFE">
      <w:pPr>
        <w:pStyle w:val="a8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25446">
        <w:rPr>
          <w:rFonts w:ascii="Times New Roman" w:hAnsi="Times New Roman"/>
          <w:sz w:val="28"/>
          <w:szCs w:val="28"/>
          <w:lang w:val="uk-UA"/>
        </w:rPr>
        <w:t>З метою забезпечення доступності позашкільної освіти гуртки працюють у сільській місцевості та відповідають профілям закладів: працюють за художньо-естетичним, науково-технічним, еколого-натуралістичним, соціально-реабілітаційним, гум</w:t>
      </w:r>
      <w:r w:rsidR="00FF21DC">
        <w:rPr>
          <w:rFonts w:ascii="Times New Roman" w:hAnsi="Times New Roman"/>
          <w:sz w:val="28"/>
          <w:szCs w:val="28"/>
          <w:lang w:val="uk-UA"/>
        </w:rPr>
        <w:t>анітарним, науково-дослідницьким</w:t>
      </w:r>
      <w:r w:rsidRPr="00925446">
        <w:rPr>
          <w:rFonts w:ascii="Times New Roman" w:hAnsi="Times New Roman"/>
          <w:sz w:val="28"/>
          <w:szCs w:val="28"/>
          <w:lang w:val="uk-UA"/>
        </w:rPr>
        <w:t>, еколого-краєзнавчим та туристично-краєзнавчим напрямами. Д</w:t>
      </w:r>
      <w:r w:rsidRPr="00925446">
        <w:rPr>
          <w:rFonts w:ascii="Times New Roman" w:eastAsia="Times New Roman" w:hAnsi="Times New Roman"/>
          <w:sz w:val="28"/>
          <w:szCs w:val="28"/>
          <w:lang w:val="uk-UA" w:eastAsia="ru-RU"/>
        </w:rPr>
        <w:t>ля цілісного розвитку особистості виявляються і підтримуються талановиті і обдаровані діти, забезпечується участь гуртківців у масових заходах шкіл, районних та обласних конкурсах,  виставках, акціях та фестивалях.</w:t>
      </w:r>
    </w:p>
    <w:p w:rsidR="00847FFE" w:rsidRPr="00925446" w:rsidRDefault="00847FFE" w:rsidP="00847FFE">
      <w:pPr>
        <w:ind w:firstLine="567"/>
        <w:contextualSpacing/>
        <w:jc w:val="both"/>
        <w:rPr>
          <w:sz w:val="28"/>
          <w:szCs w:val="28"/>
          <w:lang w:val="uk-UA"/>
        </w:rPr>
      </w:pPr>
      <w:r w:rsidRPr="00925446">
        <w:rPr>
          <w:sz w:val="28"/>
          <w:szCs w:val="28"/>
          <w:lang w:val="uk-UA"/>
        </w:rPr>
        <w:lastRenderedPageBreak/>
        <w:t>Щорічно проводиться аналіз доцільності збереження гуртків та наповнюваності груп. З</w:t>
      </w:r>
      <w:r w:rsidRPr="00925446">
        <w:rPr>
          <w:bCs/>
          <w:iCs/>
          <w:sz w:val="28"/>
          <w:szCs w:val="28"/>
          <w:lang w:val="uk-UA"/>
        </w:rPr>
        <w:t xml:space="preserve">дійснюється щорічний моніторинг охоплення дітей позашкільною освітою за напрямками виховання та з урахуванням </w:t>
      </w:r>
      <w:r w:rsidRPr="00925446">
        <w:rPr>
          <w:sz w:val="28"/>
          <w:szCs w:val="28"/>
          <w:lang w:val="uk-UA"/>
        </w:rPr>
        <w:t xml:space="preserve">  </w:t>
      </w:r>
      <w:r w:rsidRPr="00925446">
        <w:rPr>
          <w:bCs/>
          <w:iCs/>
          <w:sz w:val="28"/>
          <w:szCs w:val="28"/>
          <w:lang w:val="uk-UA"/>
        </w:rPr>
        <w:t>соціального статусу дітей.</w:t>
      </w:r>
      <w:r w:rsidRPr="00925446">
        <w:rPr>
          <w:sz w:val="28"/>
          <w:szCs w:val="28"/>
          <w:lang w:val="uk-UA"/>
        </w:rPr>
        <w:t xml:space="preserve"> </w:t>
      </w:r>
    </w:p>
    <w:p w:rsidR="00847FFE" w:rsidRPr="00925446" w:rsidRDefault="00847FFE" w:rsidP="00847FFE">
      <w:pPr>
        <w:ind w:firstLine="567"/>
        <w:contextualSpacing/>
        <w:jc w:val="both"/>
        <w:rPr>
          <w:rFonts w:eastAsia="Times New Roman"/>
          <w:sz w:val="28"/>
          <w:szCs w:val="28"/>
          <w:lang w:val="uk-UA"/>
        </w:rPr>
      </w:pPr>
      <w:r w:rsidRPr="00925446">
        <w:rPr>
          <w:sz w:val="28"/>
          <w:szCs w:val="28"/>
          <w:lang w:val="uk-UA"/>
        </w:rPr>
        <w:t>Крім освітніх функцій, позашкільний навчальний заклад  виконує соціальну роботу: залучає до занять у гуртках дітей соціально-незахищених категорій. У 201</w:t>
      </w:r>
      <w:r w:rsidR="000B1EE7" w:rsidRPr="00925446">
        <w:rPr>
          <w:sz w:val="28"/>
          <w:szCs w:val="28"/>
          <w:lang w:val="uk-UA"/>
        </w:rPr>
        <w:t>5</w:t>
      </w:r>
      <w:r w:rsidRPr="00925446">
        <w:rPr>
          <w:sz w:val="28"/>
          <w:szCs w:val="28"/>
          <w:lang w:val="uk-UA"/>
        </w:rPr>
        <w:t xml:space="preserve"> році у гуртках і творчих об’єднаннях займається 125 таких учнів, </w:t>
      </w:r>
      <w:r w:rsidRPr="00925446">
        <w:rPr>
          <w:bCs/>
          <w:iCs/>
          <w:sz w:val="28"/>
          <w:szCs w:val="28"/>
          <w:lang w:val="uk-UA"/>
        </w:rPr>
        <w:t xml:space="preserve"> у тому числі 2 учні, що перебувають на внутрішньошкільному обліку.</w:t>
      </w:r>
      <w:r w:rsidRPr="00925446">
        <w:rPr>
          <w:rFonts w:eastAsia="Times New Roman"/>
          <w:sz w:val="28"/>
          <w:szCs w:val="28"/>
          <w:lang w:val="uk-UA"/>
        </w:rPr>
        <w:t xml:space="preserve"> Кількість залучених дітей даної категорії зросла на 50% у порівнянні з </w:t>
      </w:r>
      <w:r w:rsidR="000B1EE7" w:rsidRPr="00925446">
        <w:rPr>
          <w:rFonts w:eastAsia="Times New Roman"/>
          <w:sz w:val="28"/>
          <w:szCs w:val="28"/>
          <w:lang w:val="uk-UA"/>
        </w:rPr>
        <w:t>2013</w:t>
      </w:r>
      <w:r w:rsidRPr="00925446">
        <w:rPr>
          <w:rFonts w:eastAsia="Times New Roman"/>
          <w:sz w:val="28"/>
          <w:szCs w:val="28"/>
          <w:lang w:val="uk-UA"/>
        </w:rPr>
        <w:t xml:space="preserve"> роком.</w:t>
      </w:r>
    </w:p>
    <w:p w:rsidR="00847FFE" w:rsidRPr="00925446" w:rsidRDefault="00847FFE" w:rsidP="00847FFE">
      <w:pPr>
        <w:ind w:firstLine="567"/>
        <w:contextualSpacing/>
        <w:jc w:val="both"/>
        <w:rPr>
          <w:sz w:val="28"/>
          <w:szCs w:val="28"/>
          <w:lang w:val="uk-UA"/>
        </w:rPr>
      </w:pPr>
      <w:r w:rsidRPr="00925446">
        <w:rPr>
          <w:bCs/>
          <w:iCs/>
          <w:sz w:val="28"/>
          <w:szCs w:val="28"/>
          <w:lang w:val="uk-UA"/>
        </w:rPr>
        <w:t>Позашкільні навчальні заклади у повній мірі укомплектовані</w:t>
      </w:r>
      <w:r w:rsidRPr="00925446">
        <w:rPr>
          <w:sz w:val="28"/>
          <w:szCs w:val="28"/>
          <w:lang w:val="uk-UA"/>
        </w:rPr>
        <w:t xml:space="preserve"> </w:t>
      </w:r>
      <w:r w:rsidRPr="00925446">
        <w:rPr>
          <w:bCs/>
          <w:iCs/>
          <w:sz w:val="28"/>
          <w:szCs w:val="28"/>
          <w:lang w:val="uk-UA"/>
        </w:rPr>
        <w:t>педагогічними кадрами. У Центрі туристично-краєзнавчої творчості працює 22 педагоги, з них 8 основних працівників, керівників гуртків вищої кваліфікаційної</w:t>
      </w:r>
      <w:r w:rsidR="00FF21DC">
        <w:rPr>
          <w:bCs/>
          <w:iCs/>
          <w:sz w:val="28"/>
          <w:szCs w:val="28"/>
          <w:lang w:val="uk-UA"/>
        </w:rPr>
        <w:t xml:space="preserve"> категорії – 1, першої</w:t>
      </w:r>
      <w:r w:rsidRPr="00925446">
        <w:rPr>
          <w:bCs/>
          <w:iCs/>
          <w:sz w:val="28"/>
          <w:szCs w:val="28"/>
          <w:lang w:val="uk-UA"/>
        </w:rPr>
        <w:t xml:space="preserve"> – 6, молодих спеціалістів – 6, 1 керівник гуртка має звання «методист». Функціонування Будинку школяра забезпечують 27 педагогічних працівників: 8 з них працюють на постійній основі. Серед них керівників гуртків вищої кваліфікаційної категорії – 1,   молодих спеціалістів – 9, 1 керівник гуртка нагороджений знаком «Відмінник освіти України».</w:t>
      </w:r>
    </w:p>
    <w:p w:rsidR="00847FFE" w:rsidRPr="00925446" w:rsidRDefault="00847FFE" w:rsidP="00847FFE">
      <w:pPr>
        <w:ind w:firstLine="720"/>
        <w:jc w:val="both"/>
        <w:rPr>
          <w:rFonts w:eastAsia="MS Mincho"/>
          <w:sz w:val="28"/>
          <w:szCs w:val="28"/>
          <w:lang w:val="uk-UA" w:eastAsia="ja-JP"/>
        </w:rPr>
      </w:pPr>
      <w:r w:rsidRPr="00925446">
        <w:rPr>
          <w:sz w:val="28"/>
          <w:szCs w:val="28"/>
          <w:lang w:val="uk-UA"/>
        </w:rPr>
        <w:t>З метою у</w:t>
      </w:r>
      <w:r w:rsidRPr="00925446">
        <w:rPr>
          <w:rFonts w:eastAsia="MS Mincho"/>
          <w:bCs/>
          <w:sz w:val="28"/>
          <w:szCs w:val="28"/>
          <w:lang w:val="uk-UA" w:eastAsia="ja-JP"/>
        </w:rPr>
        <w:t xml:space="preserve">порядкування та розвитку мережі позашкільних навчальних закладів району </w:t>
      </w:r>
      <w:r w:rsidR="000B1EE7" w:rsidRPr="00925446">
        <w:rPr>
          <w:rFonts w:eastAsia="MS Mincho"/>
          <w:sz w:val="28"/>
          <w:szCs w:val="28"/>
          <w:lang w:val="uk-UA" w:eastAsia="ja-JP"/>
        </w:rPr>
        <w:t xml:space="preserve">за період функціонування Програми </w:t>
      </w:r>
      <w:r w:rsidRPr="00925446">
        <w:rPr>
          <w:rFonts w:eastAsia="MS Mincho"/>
          <w:sz w:val="28"/>
          <w:szCs w:val="28"/>
          <w:lang w:val="uk-UA" w:eastAsia="ja-JP"/>
        </w:rPr>
        <w:t xml:space="preserve">введено </w:t>
      </w:r>
      <w:r w:rsidR="000B1EE7" w:rsidRPr="00925446">
        <w:rPr>
          <w:rFonts w:eastAsia="MS Mincho"/>
          <w:sz w:val="28"/>
          <w:szCs w:val="28"/>
          <w:lang w:val="uk-UA" w:eastAsia="ja-JP"/>
        </w:rPr>
        <w:t>4</w:t>
      </w:r>
      <w:r w:rsidRPr="00925446">
        <w:rPr>
          <w:rFonts w:eastAsia="MS Mincho"/>
          <w:sz w:val="28"/>
          <w:szCs w:val="28"/>
          <w:lang w:val="uk-UA" w:eastAsia="ja-JP"/>
        </w:rPr>
        <w:t xml:space="preserve"> ставки керівників гуртків для Центру туристично-краєзнавчої творчост</w:t>
      </w:r>
      <w:r w:rsidR="000B1EE7" w:rsidRPr="00925446">
        <w:rPr>
          <w:rFonts w:eastAsia="MS Mincho"/>
          <w:sz w:val="28"/>
          <w:szCs w:val="28"/>
          <w:lang w:val="uk-UA" w:eastAsia="ja-JP"/>
        </w:rPr>
        <w:t>і та 4</w:t>
      </w:r>
      <w:r w:rsidRPr="00925446">
        <w:rPr>
          <w:rFonts w:eastAsia="MS Mincho"/>
          <w:sz w:val="28"/>
          <w:szCs w:val="28"/>
          <w:lang w:val="uk-UA" w:eastAsia="ja-JP"/>
        </w:rPr>
        <w:t xml:space="preserve"> ставк</w:t>
      </w:r>
      <w:r w:rsidR="000B1EE7" w:rsidRPr="00925446">
        <w:rPr>
          <w:rFonts w:eastAsia="MS Mincho"/>
          <w:sz w:val="28"/>
          <w:szCs w:val="28"/>
          <w:lang w:val="uk-UA" w:eastAsia="ja-JP"/>
        </w:rPr>
        <w:t>и для  Будинку  школяра</w:t>
      </w:r>
      <w:r w:rsidRPr="00925446">
        <w:rPr>
          <w:rFonts w:eastAsia="MS Mincho"/>
          <w:sz w:val="28"/>
          <w:szCs w:val="28"/>
          <w:lang w:val="uk-UA" w:eastAsia="ja-JP"/>
        </w:rPr>
        <w:t xml:space="preserve">.   </w:t>
      </w:r>
    </w:p>
    <w:p w:rsidR="00847FFE" w:rsidRPr="00925446" w:rsidRDefault="00847FFE" w:rsidP="00847FFE">
      <w:pPr>
        <w:widowControl w:val="0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925446">
        <w:rPr>
          <w:sz w:val="28"/>
          <w:szCs w:val="28"/>
          <w:lang w:val="uk-UA"/>
        </w:rPr>
        <w:t xml:space="preserve">Виходячи з психолого-фізіологічних особливостей гуртківців здійснюється різноманітна діяльність, створюються умови для цілісного розвитку особистості, виявляються і підтримуються талановиті і обдаровані діти, забезпечується участь гуртківців у масових заходах шкіл, районних та обласних конкурсах, виставках, акціях та фестивалях.  </w:t>
      </w:r>
    </w:p>
    <w:p w:rsidR="00847FFE" w:rsidRPr="00925446" w:rsidRDefault="00847FFE" w:rsidP="00847FFE">
      <w:pPr>
        <w:ind w:firstLine="720"/>
        <w:jc w:val="both"/>
        <w:rPr>
          <w:sz w:val="28"/>
          <w:szCs w:val="28"/>
          <w:lang w:val="uk-UA"/>
        </w:rPr>
      </w:pPr>
      <w:r w:rsidRPr="00925446">
        <w:rPr>
          <w:sz w:val="28"/>
          <w:szCs w:val="28"/>
          <w:lang w:val="uk-UA"/>
        </w:rPr>
        <w:t xml:space="preserve">Позашкільні навчальні заклади співпрацюють з громадськими організаціями «Євроклуб», «Жменя», районною організацією ветеранів, громадською організацією євроклуб «Право і захист» м. Києва, міжнародною молодіжною громадською організацією «Європейський молодіжний парламент – Україна», дитячими євроклубами м. Чернігова, Чернігівським національним педагогічним університетом імені Т.Г.Шевченка. </w:t>
      </w:r>
    </w:p>
    <w:p w:rsidR="00847FFE" w:rsidRPr="00925446" w:rsidRDefault="00847FFE" w:rsidP="00847FFE">
      <w:pPr>
        <w:pStyle w:val="a5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val="uk-UA"/>
        </w:rPr>
      </w:pPr>
      <w:r w:rsidRPr="00925446">
        <w:rPr>
          <w:sz w:val="28"/>
          <w:szCs w:val="28"/>
          <w:lang w:val="uk-UA"/>
        </w:rPr>
        <w:t>З метою сприяння забезпеченню освітньо-культурних потреб дітей, створенню умов для їх творчого, інтелектуального, духовного та фізичного розвитку, виявлення і підтримки талановитих та обдарованих дітей, організації змістовного дозвілля та вдосконалення виховної роботи у навчальних закладах системи позашкільної освіти  проводяться масові заходи: одноденні екскурсійні поїздки до міст Чернігів та Київ, одноденні туристичні і краєзнавчі походи рідними та навколишніми селами, спортивно-масові свята, краєзнавчо-туристичні вікторини.</w:t>
      </w:r>
    </w:p>
    <w:p w:rsidR="00847FFE" w:rsidRPr="00925446" w:rsidRDefault="00847FFE" w:rsidP="00847F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5446">
        <w:rPr>
          <w:rFonts w:ascii="Times New Roman" w:hAnsi="Times New Roman"/>
          <w:sz w:val="28"/>
          <w:szCs w:val="28"/>
          <w:lang w:val="uk-UA"/>
        </w:rPr>
        <w:t xml:space="preserve">На базі гуртків Будинку школяра проходять різноманітні акції: «День довкілля», «Діти </w:t>
      </w:r>
      <w:r w:rsidR="000B1EE7" w:rsidRPr="00925446">
        <w:rPr>
          <w:rFonts w:ascii="Times New Roman" w:hAnsi="Times New Roman"/>
          <w:sz w:val="28"/>
          <w:szCs w:val="28"/>
          <w:lang w:val="uk-UA"/>
        </w:rPr>
        <w:t>-</w:t>
      </w:r>
      <w:r w:rsidRPr="00925446">
        <w:rPr>
          <w:rFonts w:ascii="Times New Roman" w:hAnsi="Times New Roman"/>
          <w:sz w:val="28"/>
          <w:szCs w:val="28"/>
          <w:lang w:val="uk-UA"/>
        </w:rPr>
        <w:t xml:space="preserve">дітям», «Подарунковий хіт-парад», «Твори красу навколо», «Здоровим бути легко» та інші. Постійно проводяться конкурси малюнків та </w:t>
      </w:r>
      <w:r w:rsidRPr="00925446">
        <w:rPr>
          <w:rFonts w:ascii="Times New Roman" w:hAnsi="Times New Roman"/>
          <w:sz w:val="28"/>
          <w:szCs w:val="28"/>
          <w:lang w:val="uk-UA"/>
        </w:rPr>
        <w:lastRenderedPageBreak/>
        <w:t xml:space="preserve">фотографій різної тематики. Свої творчі наробки діти демонструють на районних заходах. </w:t>
      </w:r>
    </w:p>
    <w:p w:rsidR="00847FFE" w:rsidRPr="00925446" w:rsidRDefault="00847FFE" w:rsidP="00847FFE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5446">
        <w:rPr>
          <w:rFonts w:ascii="Times New Roman" w:hAnsi="Times New Roman"/>
          <w:sz w:val="28"/>
          <w:szCs w:val="28"/>
          <w:lang w:val="uk-UA"/>
        </w:rPr>
        <w:t xml:space="preserve">Для ознайомлення громадськості району із здобутками вихованців Будинку школяра та Центру туристично-краєзнавчої творчості в практику введено випуск тематичних бюлетенів та брошур, систематично організовуються виставки дитячих творчих робіт. </w:t>
      </w:r>
    </w:p>
    <w:p w:rsidR="000B1EE7" w:rsidRPr="00925446" w:rsidRDefault="00847FFE" w:rsidP="000B1EE7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5446">
        <w:rPr>
          <w:sz w:val="28"/>
          <w:szCs w:val="28"/>
          <w:lang w:val="uk-UA"/>
        </w:rPr>
        <w:tab/>
      </w:r>
      <w:r w:rsidRPr="00925446">
        <w:rPr>
          <w:rFonts w:ascii="Times New Roman" w:hAnsi="Times New Roman"/>
          <w:sz w:val="28"/>
          <w:szCs w:val="28"/>
          <w:lang w:val="uk-UA"/>
        </w:rPr>
        <w:t xml:space="preserve">Результативність роботи позашкільних навчальних закладів прослідковується за підсумками участі в обласних та Всеукраїнських конкурсах, акціях та фестивалях. </w:t>
      </w:r>
      <w:r w:rsidR="000B1EE7" w:rsidRPr="00925446">
        <w:rPr>
          <w:rFonts w:ascii="Times New Roman" w:hAnsi="Times New Roman"/>
          <w:sz w:val="28"/>
          <w:szCs w:val="28"/>
          <w:lang w:val="uk-UA"/>
        </w:rPr>
        <w:t>Чернігівським обласним палацом дітей та юнацтва 13 вихованців районного Будинку школяра включено до банку обдарованих дітей області. За підсумками рейтингового оцінювання районний Центр ту</w:t>
      </w:r>
      <w:r w:rsidR="00FF21DC">
        <w:rPr>
          <w:rFonts w:ascii="Times New Roman" w:hAnsi="Times New Roman"/>
          <w:sz w:val="28"/>
          <w:szCs w:val="28"/>
          <w:lang w:val="uk-UA"/>
        </w:rPr>
        <w:t>ристично-краєзнавчої творчості</w:t>
      </w:r>
      <w:r w:rsidR="000B1EE7" w:rsidRPr="00925446">
        <w:rPr>
          <w:rFonts w:ascii="Times New Roman" w:hAnsi="Times New Roman"/>
          <w:sz w:val="28"/>
          <w:szCs w:val="28"/>
          <w:lang w:val="uk-UA"/>
        </w:rPr>
        <w:t xml:space="preserve"> посідає 2 місце в області серед навчальних закладів туристичного спрямування, Будинок школяра – 8 місце в обласному рейтингу </w:t>
      </w:r>
      <w:r w:rsidR="00925446" w:rsidRPr="00925446">
        <w:rPr>
          <w:rFonts w:ascii="Times New Roman" w:hAnsi="Times New Roman"/>
          <w:sz w:val="28"/>
          <w:szCs w:val="28"/>
          <w:lang w:val="uk-UA"/>
        </w:rPr>
        <w:t xml:space="preserve">позашкільних </w:t>
      </w:r>
      <w:r w:rsidR="000B1EE7" w:rsidRPr="00925446">
        <w:rPr>
          <w:rFonts w:ascii="Times New Roman" w:hAnsi="Times New Roman"/>
          <w:sz w:val="28"/>
          <w:szCs w:val="28"/>
          <w:lang w:val="uk-UA"/>
        </w:rPr>
        <w:t>закладів відповідного напрямку роботи.</w:t>
      </w:r>
    </w:p>
    <w:p w:rsidR="00DA0D0D" w:rsidRDefault="00925446" w:rsidP="007F7338">
      <w:pPr>
        <w:pStyle w:val="a9"/>
        <w:shd w:val="clear" w:color="auto" w:fill="FFFFFF"/>
        <w:spacing w:before="0" w:beforeAutospacing="0" w:after="0" w:afterAutospacing="0"/>
        <w:ind w:right="-187" w:firstLine="708"/>
        <w:jc w:val="both"/>
        <w:rPr>
          <w:sz w:val="28"/>
          <w:szCs w:val="28"/>
          <w:lang w:val="uk-UA"/>
        </w:rPr>
      </w:pPr>
      <w:r w:rsidRPr="00925446">
        <w:rPr>
          <w:sz w:val="28"/>
          <w:szCs w:val="28"/>
          <w:lang w:val="uk-UA"/>
        </w:rPr>
        <w:t>Д</w:t>
      </w:r>
      <w:r w:rsidR="00711EE7" w:rsidRPr="00925446">
        <w:rPr>
          <w:sz w:val="28"/>
          <w:szCs w:val="28"/>
          <w:lang w:val="uk-UA"/>
        </w:rPr>
        <w:t xml:space="preserve">ля реалізації заходів </w:t>
      </w:r>
      <w:r w:rsidR="00E94E7B" w:rsidRPr="00925446">
        <w:rPr>
          <w:sz w:val="28"/>
          <w:szCs w:val="28"/>
          <w:lang w:val="uk-UA"/>
        </w:rPr>
        <w:t>район</w:t>
      </w:r>
      <w:r w:rsidR="00711EE7" w:rsidRPr="00925446">
        <w:rPr>
          <w:sz w:val="28"/>
          <w:szCs w:val="28"/>
          <w:lang w:val="uk-UA"/>
        </w:rPr>
        <w:t xml:space="preserve">ної цільової соціальної </w:t>
      </w:r>
      <w:r w:rsidR="008F074C" w:rsidRPr="00925446">
        <w:rPr>
          <w:sz w:val="28"/>
          <w:szCs w:val="28"/>
          <w:lang w:val="uk-UA"/>
        </w:rPr>
        <w:t>П</w:t>
      </w:r>
      <w:r w:rsidR="00711EE7" w:rsidRPr="00925446">
        <w:rPr>
          <w:sz w:val="28"/>
          <w:szCs w:val="28"/>
          <w:lang w:val="uk-UA"/>
        </w:rPr>
        <w:t>рограми розвитку позашкільної освіти на період до 201</w:t>
      </w:r>
      <w:r w:rsidR="008F074C" w:rsidRPr="00925446">
        <w:rPr>
          <w:sz w:val="28"/>
          <w:szCs w:val="28"/>
          <w:lang w:val="uk-UA"/>
        </w:rPr>
        <w:t>5</w:t>
      </w:r>
      <w:r w:rsidR="00711EE7" w:rsidRPr="00925446">
        <w:rPr>
          <w:sz w:val="28"/>
          <w:szCs w:val="28"/>
          <w:lang w:val="uk-UA"/>
        </w:rPr>
        <w:t xml:space="preserve"> року передбач</w:t>
      </w:r>
      <w:r w:rsidRPr="00925446">
        <w:rPr>
          <w:sz w:val="28"/>
          <w:szCs w:val="28"/>
          <w:lang w:val="uk-UA"/>
        </w:rPr>
        <w:t>алося</w:t>
      </w:r>
      <w:r w:rsidR="00711EE7" w:rsidRPr="00925446">
        <w:rPr>
          <w:sz w:val="28"/>
          <w:szCs w:val="28"/>
          <w:lang w:val="uk-UA"/>
        </w:rPr>
        <w:t xml:space="preserve"> </w:t>
      </w:r>
      <w:r w:rsidRPr="00925446">
        <w:rPr>
          <w:sz w:val="28"/>
          <w:szCs w:val="28"/>
          <w:lang w:val="uk-UA"/>
        </w:rPr>
        <w:t>428</w:t>
      </w:r>
      <w:r w:rsidR="008F074C" w:rsidRPr="00925446">
        <w:rPr>
          <w:sz w:val="28"/>
          <w:szCs w:val="28"/>
          <w:lang w:val="uk-UA"/>
        </w:rPr>
        <w:t>,</w:t>
      </w:r>
      <w:r w:rsidRPr="00925446">
        <w:rPr>
          <w:sz w:val="28"/>
          <w:szCs w:val="28"/>
          <w:lang w:val="uk-UA"/>
        </w:rPr>
        <w:t>49</w:t>
      </w:r>
      <w:r w:rsidR="00711EE7" w:rsidRPr="00925446">
        <w:rPr>
          <w:sz w:val="28"/>
          <w:szCs w:val="28"/>
          <w:lang w:val="uk-UA"/>
        </w:rPr>
        <w:t xml:space="preserve"> тис</w:t>
      </w:r>
      <w:r w:rsidR="008F074C" w:rsidRPr="00925446">
        <w:rPr>
          <w:sz w:val="28"/>
          <w:szCs w:val="28"/>
          <w:lang w:val="uk-UA"/>
        </w:rPr>
        <w:t>.грн</w:t>
      </w:r>
      <w:r w:rsidR="00711EE7" w:rsidRPr="00925446">
        <w:rPr>
          <w:sz w:val="28"/>
          <w:szCs w:val="28"/>
          <w:lang w:val="uk-UA"/>
        </w:rPr>
        <w:t xml:space="preserve">, реально профінансовано </w:t>
      </w:r>
      <w:r w:rsidR="00256967">
        <w:rPr>
          <w:sz w:val="28"/>
          <w:szCs w:val="28"/>
          <w:lang w:val="uk-UA"/>
        </w:rPr>
        <w:t>1</w:t>
      </w:r>
      <w:r w:rsidR="00A83C0E">
        <w:rPr>
          <w:sz w:val="28"/>
          <w:szCs w:val="28"/>
          <w:lang w:val="uk-UA"/>
        </w:rPr>
        <w:t>40</w:t>
      </w:r>
      <w:r w:rsidR="00A36BE3" w:rsidRPr="00925446">
        <w:rPr>
          <w:sz w:val="28"/>
          <w:szCs w:val="28"/>
          <w:lang w:val="uk-UA"/>
        </w:rPr>
        <w:t>,</w:t>
      </w:r>
      <w:r w:rsidR="00A83C0E">
        <w:rPr>
          <w:sz w:val="28"/>
          <w:szCs w:val="28"/>
          <w:lang w:val="uk-UA"/>
        </w:rPr>
        <w:t>65</w:t>
      </w:r>
      <w:r w:rsidR="00256967">
        <w:rPr>
          <w:sz w:val="28"/>
          <w:szCs w:val="28"/>
          <w:lang w:val="uk-UA"/>
        </w:rPr>
        <w:t xml:space="preserve"> </w:t>
      </w:r>
      <w:r w:rsidR="007F7338" w:rsidRPr="00925446">
        <w:rPr>
          <w:sz w:val="28"/>
          <w:szCs w:val="28"/>
          <w:lang w:val="uk-UA"/>
        </w:rPr>
        <w:t>тис.</w:t>
      </w:r>
      <w:r w:rsidR="00711EE7" w:rsidRPr="00925446">
        <w:rPr>
          <w:sz w:val="28"/>
          <w:szCs w:val="28"/>
          <w:lang w:val="uk-UA"/>
        </w:rPr>
        <w:t xml:space="preserve"> грн, що становить </w:t>
      </w:r>
      <w:r w:rsidR="00A36BE3" w:rsidRPr="00925446">
        <w:rPr>
          <w:sz w:val="28"/>
          <w:szCs w:val="28"/>
          <w:lang w:val="uk-UA"/>
        </w:rPr>
        <w:t>3</w:t>
      </w:r>
      <w:r w:rsidR="00A83C0E">
        <w:rPr>
          <w:sz w:val="28"/>
          <w:szCs w:val="28"/>
          <w:lang w:val="uk-UA"/>
        </w:rPr>
        <w:t>2</w:t>
      </w:r>
      <w:r w:rsidR="00A36BE3" w:rsidRPr="00925446">
        <w:rPr>
          <w:sz w:val="28"/>
          <w:szCs w:val="28"/>
          <w:lang w:val="uk-UA"/>
        </w:rPr>
        <w:t>,</w:t>
      </w:r>
      <w:r w:rsidR="00A83C0E">
        <w:rPr>
          <w:sz w:val="28"/>
          <w:szCs w:val="28"/>
          <w:lang w:val="uk-UA"/>
        </w:rPr>
        <w:t xml:space="preserve">8 </w:t>
      </w:r>
      <w:r w:rsidR="00711EE7" w:rsidRPr="00925446">
        <w:rPr>
          <w:sz w:val="28"/>
          <w:szCs w:val="28"/>
          <w:lang w:val="uk-UA"/>
        </w:rPr>
        <w:t>відсотка</w:t>
      </w:r>
      <w:r w:rsidR="00DA0D0D">
        <w:rPr>
          <w:sz w:val="28"/>
          <w:szCs w:val="28"/>
          <w:lang w:val="uk-UA"/>
        </w:rPr>
        <w:t>, в т.ч.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140"/>
        <w:gridCol w:w="3600"/>
      </w:tblGrid>
      <w:tr w:rsidR="00DA0D0D" w:rsidRPr="0053711B" w:rsidTr="0053711B">
        <w:tc>
          <w:tcPr>
            <w:tcW w:w="1908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3711B">
              <w:rPr>
                <w:i/>
                <w:iCs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4140" w:type="dxa"/>
          </w:tcPr>
          <w:p w:rsidR="00A83C0E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3711B">
              <w:rPr>
                <w:i/>
                <w:iCs/>
                <w:sz w:val="28"/>
                <w:szCs w:val="28"/>
                <w:lang w:val="uk-UA"/>
              </w:rPr>
              <w:t>Орієнтовні обсяги видатків,</w:t>
            </w:r>
          </w:p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3711B">
              <w:rPr>
                <w:i/>
                <w:iCs/>
                <w:sz w:val="28"/>
                <w:szCs w:val="28"/>
                <w:lang w:val="uk-UA"/>
              </w:rPr>
              <w:t xml:space="preserve"> тис. грн</w:t>
            </w:r>
          </w:p>
        </w:tc>
        <w:tc>
          <w:tcPr>
            <w:tcW w:w="3600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53711B">
              <w:rPr>
                <w:i/>
                <w:iCs/>
                <w:sz w:val="28"/>
                <w:szCs w:val="28"/>
                <w:lang w:val="uk-UA"/>
              </w:rPr>
              <w:t>Профінансовано, тис.грн</w:t>
            </w:r>
          </w:p>
        </w:tc>
      </w:tr>
      <w:tr w:rsidR="00DA0D0D" w:rsidRPr="0053711B" w:rsidTr="0053711B">
        <w:tc>
          <w:tcPr>
            <w:tcW w:w="1908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4140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46,96</w:t>
            </w:r>
          </w:p>
        </w:tc>
        <w:tc>
          <w:tcPr>
            <w:tcW w:w="3600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31,4</w:t>
            </w:r>
          </w:p>
        </w:tc>
      </w:tr>
      <w:tr w:rsidR="00DA0D0D" w:rsidRPr="0053711B" w:rsidTr="0053711B">
        <w:tc>
          <w:tcPr>
            <w:tcW w:w="1908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4140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90,83</w:t>
            </w:r>
          </w:p>
        </w:tc>
        <w:tc>
          <w:tcPr>
            <w:tcW w:w="3600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23,3</w:t>
            </w:r>
          </w:p>
        </w:tc>
      </w:tr>
      <w:tr w:rsidR="00DA0D0D" w:rsidRPr="0053711B" w:rsidTr="0053711B">
        <w:tc>
          <w:tcPr>
            <w:tcW w:w="1908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4140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89,3</w:t>
            </w:r>
          </w:p>
        </w:tc>
        <w:tc>
          <w:tcPr>
            <w:tcW w:w="3600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30,5</w:t>
            </w:r>
          </w:p>
        </w:tc>
      </w:tr>
      <w:tr w:rsidR="00DA0D0D" w:rsidRPr="0053711B" w:rsidTr="0053711B">
        <w:tc>
          <w:tcPr>
            <w:tcW w:w="1908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2014</w:t>
            </w:r>
          </w:p>
        </w:tc>
        <w:tc>
          <w:tcPr>
            <w:tcW w:w="4140" w:type="dxa"/>
          </w:tcPr>
          <w:p w:rsidR="00DA0D0D" w:rsidRPr="0053711B" w:rsidRDefault="00A83C0E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95,53</w:t>
            </w:r>
          </w:p>
        </w:tc>
        <w:tc>
          <w:tcPr>
            <w:tcW w:w="3600" w:type="dxa"/>
          </w:tcPr>
          <w:p w:rsidR="00DA0D0D" w:rsidRPr="0053711B" w:rsidRDefault="00A83C0E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48,0</w:t>
            </w:r>
          </w:p>
        </w:tc>
      </w:tr>
      <w:tr w:rsidR="00DA0D0D" w:rsidRPr="0053711B" w:rsidTr="0053711B">
        <w:tc>
          <w:tcPr>
            <w:tcW w:w="1908" w:type="dxa"/>
          </w:tcPr>
          <w:p w:rsidR="00DA0D0D" w:rsidRPr="0053711B" w:rsidRDefault="00DA0D0D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2015</w:t>
            </w:r>
          </w:p>
        </w:tc>
        <w:tc>
          <w:tcPr>
            <w:tcW w:w="4140" w:type="dxa"/>
          </w:tcPr>
          <w:p w:rsidR="00DA0D0D" w:rsidRPr="0053711B" w:rsidRDefault="00A83C0E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110,87</w:t>
            </w:r>
          </w:p>
        </w:tc>
        <w:tc>
          <w:tcPr>
            <w:tcW w:w="3600" w:type="dxa"/>
          </w:tcPr>
          <w:p w:rsidR="00DA0D0D" w:rsidRPr="0053711B" w:rsidRDefault="00A83C0E" w:rsidP="0053711B">
            <w:pPr>
              <w:pStyle w:val="a9"/>
              <w:spacing w:before="0" w:beforeAutospacing="0" w:after="0" w:afterAutospacing="0"/>
              <w:ind w:right="-187"/>
              <w:jc w:val="both"/>
              <w:rPr>
                <w:sz w:val="28"/>
                <w:szCs w:val="28"/>
                <w:lang w:val="uk-UA"/>
              </w:rPr>
            </w:pPr>
            <w:r w:rsidRPr="0053711B">
              <w:rPr>
                <w:sz w:val="28"/>
                <w:szCs w:val="28"/>
                <w:lang w:val="uk-UA"/>
              </w:rPr>
              <w:t>7,45</w:t>
            </w:r>
          </w:p>
        </w:tc>
      </w:tr>
    </w:tbl>
    <w:p w:rsidR="007F7338" w:rsidRPr="00925446" w:rsidRDefault="007F7338" w:rsidP="007F7338">
      <w:pPr>
        <w:ind w:firstLine="708"/>
        <w:jc w:val="both"/>
        <w:rPr>
          <w:sz w:val="28"/>
          <w:szCs w:val="28"/>
          <w:lang w:val="uk-UA"/>
        </w:rPr>
      </w:pPr>
      <w:r w:rsidRPr="00925446">
        <w:rPr>
          <w:sz w:val="28"/>
          <w:szCs w:val="28"/>
          <w:lang w:val="uk-UA"/>
        </w:rPr>
        <w:t xml:space="preserve">Чернігівською районною державної адміністрацією і надалі будуть проводитися цілеспрямовані заходи щодо </w:t>
      </w:r>
      <w:r w:rsidR="00925446" w:rsidRPr="00925446">
        <w:rPr>
          <w:sz w:val="28"/>
          <w:szCs w:val="28"/>
          <w:lang w:val="uk-UA"/>
        </w:rPr>
        <w:t>збереже</w:t>
      </w:r>
      <w:r w:rsidRPr="00925446">
        <w:rPr>
          <w:sz w:val="28"/>
          <w:szCs w:val="28"/>
          <w:lang w:val="uk-UA"/>
        </w:rPr>
        <w:t>ння мережі гуртків позашкільних навчальних закладів, залучення до позашкільної освіти дітей соціально-незахищених категорій</w:t>
      </w:r>
      <w:r w:rsidR="00256967">
        <w:rPr>
          <w:sz w:val="28"/>
          <w:szCs w:val="28"/>
          <w:lang w:val="uk-UA"/>
        </w:rPr>
        <w:t>, дітей із сімей учасників антитерористичної операції.</w:t>
      </w:r>
    </w:p>
    <w:p w:rsidR="00404E88" w:rsidRDefault="00404E88" w:rsidP="006C059B">
      <w:pPr>
        <w:rPr>
          <w:sz w:val="28"/>
          <w:lang w:val="uk-UA"/>
        </w:rPr>
      </w:pPr>
    </w:p>
    <w:p w:rsidR="00F362A0" w:rsidRPr="00925446" w:rsidRDefault="00F362A0" w:rsidP="006C059B">
      <w:pPr>
        <w:rPr>
          <w:sz w:val="28"/>
          <w:lang w:val="uk-UA"/>
        </w:rPr>
      </w:pPr>
    </w:p>
    <w:p w:rsidR="00F362A0" w:rsidRDefault="00F362A0" w:rsidP="00F362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F362A0" w:rsidRDefault="00F362A0" w:rsidP="00F362A0">
      <w:pPr>
        <w:pStyle w:val="31"/>
        <w:ind w:firstLine="0"/>
      </w:pPr>
      <w:r>
        <w:t>апарату районної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І.В.</w:t>
      </w:r>
      <w:proofErr w:type="spellStart"/>
      <w:r>
        <w:t>Кудрик</w:t>
      </w:r>
      <w:proofErr w:type="spellEnd"/>
    </w:p>
    <w:p w:rsidR="006C059B" w:rsidRPr="00925446" w:rsidRDefault="006C059B" w:rsidP="006C059B">
      <w:pPr>
        <w:rPr>
          <w:sz w:val="28"/>
          <w:lang w:val="uk-UA"/>
        </w:rPr>
      </w:pPr>
    </w:p>
    <w:sectPr w:rsidR="006C059B" w:rsidRPr="00925446" w:rsidSect="001353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7E71"/>
    <w:multiLevelType w:val="hybridMultilevel"/>
    <w:tmpl w:val="ED52E4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DC09FF"/>
    <w:rsid w:val="00004F1A"/>
    <w:rsid w:val="00071326"/>
    <w:rsid w:val="00075D55"/>
    <w:rsid w:val="000879C4"/>
    <w:rsid w:val="00096555"/>
    <w:rsid w:val="000B1EE7"/>
    <w:rsid w:val="000B6C0E"/>
    <w:rsid w:val="000C4CB5"/>
    <w:rsid w:val="00107F1F"/>
    <w:rsid w:val="00122457"/>
    <w:rsid w:val="00122DBB"/>
    <w:rsid w:val="00135350"/>
    <w:rsid w:val="00197BF4"/>
    <w:rsid w:val="001B7626"/>
    <w:rsid w:val="001C1151"/>
    <w:rsid w:val="001C2A37"/>
    <w:rsid w:val="00254011"/>
    <w:rsid w:val="00256967"/>
    <w:rsid w:val="002B7D34"/>
    <w:rsid w:val="002D08E2"/>
    <w:rsid w:val="002D6318"/>
    <w:rsid w:val="00341C9F"/>
    <w:rsid w:val="00356548"/>
    <w:rsid w:val="0036716E"/>
    <w:rsid w:val="003742F0"/>
    <w:rsid w:val="00384E46"/>
    <w:rsid w:val="003C21BB"/>
    <w:rsid w:val="003F1674"/>
    <w:rsid w:val="00404E88"/>
    <w:rsid w:val="00426B3E"/>
    <w:rsid w:val="00483697"/>
    <w:rsid w:val="004A2366"/>
    <w:rsid w:val="004A482D"/>
    <w:rsid w:val="004C703E"/>
    <w:rsid w:val="004C73AF"/>
    <w:rsid w:val="00531146"/>
    <w:rsid w:val="0053711B"/>
    <w:rsid w:val="0056759B"/>
    <w:rsid w:val="005B5567"/>
    <w:rsid w:val="005E1704"/>
    <w:rsid w:val="00620382"/>
    <w:rsid w:val="0062067C"/>
    <w:rsid w:val="006314C0"/>
    <w:rsid w:val="006456FF"/>
    <w:rsid w:val="006661EF"/>
    <w:rsid w:val="0068698D"/>
    <w:rsid w:val="006C059B"/>
    <w:rsid w:val="006F0E4F"/>
    <w:rsid w:val="006F4094"/>
    <w:rsid w:val="00711EE7"/>
    <w:rsid w:val="00731D0C"/>
    <w:rsid w:val="00740554"/>
    <w:rsid w:val="007424FE"/>
    <w:rsid w:val="00764485"/>
    <w:rsid w:val="00772A68"/>
    <w:rsid w:val="007D7E9A"/>
    <w:rsid w:val="007F7338"/>
    <w:rsid w:val="00806E64"/>
    <w:rsid w:val="0083783C"/>
    <w:rsid w:val="0084682E"/>
    <w:rsid w:val="00847FFE"/>
    <w:rsid w:val="008A7057"/>
    <w:rsid w:val="008F074C"/>
    <w:rsid w:val="00925446"/>
    <w:rsid w:val="00946257"/>
    <w:rsid w:val="009803F2"/>
    <w:rsid w:val="009C1F26"/>
    <w:rsid w:val="009D59D7"/>
    <w:rsid w:val="009D5E5F"/>
    <w:rsid w:val="00A042E3"/>
    <w:rsid w:val="00A24B5C"/>
    <w:rsid w:val="00A36BE3"/>
    <w:rsid w:val="00A4070D"/>
    <w:rsid w:val="00A61060"/>
    <w:rsid w:val="00A731B7"/>
    <w:rsid w:val="00A75627"/>
    <w:rsid w:val="00A83C0E"/>
    <w:rsid w:val="00AA2E07"/>
    <w:rsid w:val="00AB2483"/>
    <w:rsid w:val="00B10DE3"/>
    <w:rsid w:val="00B711E1"/>
    <w:rsid w:val="00C3419D"/>
    <w:rsid w:val="00C70882"/>
    <w:rsid w:val="00C91F1E"/>
    <w:rsid w:val="00CB56AC"/>
    <w:rsid w:val="00CB74A9"/>
    <w:rsid w:val="00CC3326"/>
    <w:rsid w:val="00CC4DE8"/>
    <w:rsid w:val="00CE44C2"/>
    <w:rsid w:val="00D02A4D"/>
    <w:rsid w:val="00D269AC"/>
    <w:rsid w:val="00D46558"/>
    <w:rsid w:val="00D819F2"/>
    <w:rsid w:val="00DA0D0D"/>
    <w:rsid w:val="00DA60D0"/>
    <w:rsid w:val="00DB0279"/>
    <w:rsid w:val="00DC09FF"/>
    <w:rsid w:val="00DE4C85"/>
    <w:rsid w:val="00E571C6"/>
    <w:rsid w:val="00E94E7B"/>
    <w:rsid w:val="00ED1EAA"/>
    <w:rsid w:val="00ED47BE"/>
    <w:rsid w:val="00EE173A"/>
    <w:rsid w:val="00F21516"/>
    <w:rsid w:val="00F362A0"/>
    <w:rsid w:val="00F54C4A"/>
    <w:rsid w:val="00F901E9"/>
    <w:rsid w:val="00F95318"/>
    <w:rsid w:val="00FE6ACC"/>
    <w:rsid w:val="00FF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FFE"/>
    <w:rPr>
      <w:rFonts w:ascii="Times New Roman" w:hAnsi="Times New Roman"/>
    </w:rPr>
  </w:style>
  <w:style w:type="paragraph" w:styleId="2">
    <w:name w:val="heading 2"/>
    <w:basedOn w:val="a"/>
    <w:next w:val="a"/>
    <w:qFormat/>
    <w:locked/>
    <w:rsid w:val="000C4CB5"/>
    <w:pPr>
      <w:keepNext/>
      <w:jc w:val="center"/>
      <w:outlineLvl w:val="1"/>
    </w:pPr>
    <w:rPr>
      <w:rFonts w:eastAsia="Times New Roman"/>
      <w:b/>
      <w:bCs/>
      <w:sz w:val="36"/>
      <w:szCs w:val="24"/>
      <w:lang w:val="uk-UA"/>
    </w:rPr>
  </w:style>
  <w:style w:type="paragraph" w:styleId="3">
    <w:name w:val="heading 3"/>
    <w:basedOn w:val="a"/>
    <w:next w:val="a"/>
    <w:link w:val="30"/>
    <w:qFormat/>
    <w:locked/>
    <w:rsid w:val="000C4CB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DC0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DC09FF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rsid w:val="00772A6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772A68"/>
    <w:rPr>
      <w:rFonts w:cs="Times New Roman"/>
      <w:b/>
      <w:bCs/>
    </w:rPr>
  </w:style>
  <w:style w:type="character" w:styleId="a7">
    <w:name w:val="Hyperlink"/>
    <w:basedOn w:val="a0"/>
    <w:semiHidden/>
    <w:rsid w:val="00772A68"/>
    <w:rPr>
      <w:rFonts w:cs="Times New Roman"/>
      <w:color w:val="0000FF"/>
      <w:u w:val="single"/>
    </w:rPr>
  </w:style>
  <w:style w:type="paragraph" w:customStyle="1" w:styleId="1">
    <w:name w:val="Знак Знак Знак Знак1 Знак Знак Знак"/>
    <w:basedOn w:val="a"/>
    <w:rsid w:val="001C1151"/>
    <w:rPr>
      <w:rFonts w:ascii="Verdana" w:hAnsi="Verdana" w:cs="Verdana"/>
      <w:lang w:val="en-US" w:eastAsia="en-US"/>
    </w:rPr>
  </w:style>
  <w:style w:type="paragraph" w:customStyle="1" w:styleId="10">
    <w:name w:val="Знак Знак Знак Знак1 Знак Знак Знак Знак Знак"/>
    <w:basedOn w:val="a"/>
    <w:rsid w:val="00531146"/>
    <w:rPr>
      <w:rFonts w:ascii="Verdana" w:hAnsi="Verdana" w:cs="Verdana"/>
      <w:lang w:val="en-US" w:eastAsia="en-US"/>
    </w:rPr>
  </w:style>
  <w:style w:type="paragraph" w:customStyle="1" w:styleId="ListParagraph">
    <w:name w:val="List Paragraph"/>
    <w:basedOn w:val="a"/>
    <w:rsid w:val="006206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NoSpacing">
    <w:name w:val="No Spacing"/>
    <w:rsid w:val="0062067C"/>
    <w:rPr>
      <w:rFonts w:eastAsia="Times New Roman"/>
      <w:sz w:val="22"/>
      <w:szCs w:val="22"/>
      <w:lang w:eastAsia="en-US"/>
    </w:rPr>
  </w:style>
  <w:style w:type="paragraph" w:styleId="a8">
    <w:name w:val="No Spacing"/>
    <w:qFormat/>
    <w:rsid w:val="00847FFE"/>
    <w:rPr>
      <w:sz w:val="22"/>
      <w:szCs w:val="22"/>
      <w:lang w:eastAsia="en-US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847FFE"/>
    <w:pPr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a9">
    <w:name w:val="a"/>
    <w:basedOn w:val="a"/>
    <w:rsid w:val="00711E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0C4CB5"/>
    <w:rPr>
      <w:rFonts w:ascii="Cambria" w:hAnsi="Cambria"/>
      <w:b/>
      <w:bCs/>
      <w:color w:val="4F81BD"/>
      <w:sz w:val="24"/>
      <w:szCs w:val="24"/>
      <w:lang w:val="uk-UA" w:eastAsia="ru-RU" w:bidi="ar-SA"/>
    </w:rPr>
  </w:style>
  <w:style w:type="table" w:styleId="aa">
    <w:name w:val="Table Grid"/>
    <w:basedOn w:val="a1"/>
    <w:locked/>
    <w:rsid w:val="00DA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F362A0"/>
    <w:pPr>
      <w:ind w:firstLine="702"/>
      <w:jc w:val="both"/>
    </w:pPr>
    <w:rPr>
      <w:rFonts w:eastAsia="Times New Roman"/>
      <w:sz w:val="28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F362A0"/>
    <w:rPr>
      <w:rFonts w:ascii="Times New Roman" w:eastAsia="Times New Roman" w:hAnsi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6825</CharactersWithSpaces>
  <SharedDoc>false</SharedDoc>
  <HLinks>
    <vt:vector size="6" baseType="variant"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http://chern-rayrada.cg.gov.ua/web_docs/1730/2012/04/docs/%D0%94%D0%BE%D0%B4%D0%B0%D1%82%D0%BE%D0%BA %D0%B4%D0%BE %D0%A0%D1%96%D1%88%D0%B5%D0%BD%D0%BD%D1%8F %D0%BE%D1%81%D0%B2%D1%96%D1%82%D0%B0.doc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SERVER</cp:lastModifiedBy>
  <cp:revision>2</cp:revision>
  <cp:lastPrinted>2016-01-12T09:27:00Z</cp:lastPrinted>
  <dcterms:created xsi:type="dcterms:W3CDTF">2016-02-10T16:41:00Z</dcterms:created>
  <dcterms:modified xsi:type="dcterms:W3CDTF">2016-02-10T16:41:00Z</dcterms:modified>
</cp:coreProperties>
</file>